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3F95">
      <w:pPr>
        <w:pStyle w:val="4"/>
        <w:rPr>
          <w:rFonts w:ascii="仿宋" w:hAnsi="仿宋" w:eastAsia="仿宋" w:cs="仿宋"/>
          <w:szCs w:val="32"/>
        </w:rPr>
      </w:pPr>
      <w:r>
        <w:rPr>
          <w:rFonts w:hint="eastAsia" w:ascii="仿宋" w:hAnsi="仿宋" w:eastAsia="仿宋" w:cs="仿宋"/>
          <w:szCs w:val="32"/>
        </w:rPr>
        <w:t>招标公告</w:t>
      </w:r>
    </w:p>
    <w:p w14:paraId="31395D4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14:paraId="69ADDB5A">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项目编号：HGJY-G2024160</w:t>
      </w:r>
    </w:p>
    <w:p w14:paraId="16441CAF">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度定氢定氧探头</w:t>
      </w:r>
      <w:r>
        <w:rPr>
          <w:rFonts w:hint="eastAsia" w:ascii="仿宋" w:hAnsi="仿宋" w:eastAsia="仿宋" w:cs="仿宋"/>
          <w:sz w:val="28"/>
          <w:szCs w:val="28"/>
        </w:rPr>
        <w:t>采购项目</w:t>
      </w:r>
    </w:p>
    <w:p w14:paraId="3C8E20C2">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14:paraId="672393BD">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602E1D9B">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14:paraId="0B131282">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w:t>
      </w:r>
    </w:p>
    <w:tbl>
      <w:tblPr>
        <w:tblStyle w:val="5"/>
        <w:tblpPr w:leftFromText="180" w:rightFromText="180" w:vertAnchor="text" w:horzAnchor="page" w:tblpX="1612" w:tblpY="249"/>
        <w:tblOverlap w:val="never"/>
        <w:tblW w:w="92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909"/>
        <w:gridCol w:w="1200"/>
        <w:gridCol w:w="1147"/>
        <w:gridCol w:w="533"/>
        <w:gridCol w:w="708"/>
        <w:gridCol w:w="1348"/>
        <w:gridCol w:w="1100"/>
        <w:gridCol w:w="1500"/>
      </w:tblGrid>
      <w:tr w14:paraId="4BB6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50EF">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标包号</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3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资材编号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B1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资材名称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8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规格描述</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09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8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B3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执行标准</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4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申请部门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B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交货期</w:t>
            </w:r>
          </w:p>
        </w:tc>
      </w:tr>
      <w:tr w14:paraId="2520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F8F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909"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73219739">
            <w:pPr>
              <w:keepNext w:val="0"/>
              <w:keepLines w:val="0"/>
              <w:widowControl/>
              <w:suppressLineNumbers w:val="0"/>
              <w:jc w:val="left"/>
              <w:textAlignment w:val="center"/>
              <w:rPr>
                <w:rFonts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6600100076</w:t>
            </w:r>
          </w:p>
        </w:tc>
        <w:tc>
          <w:tcPr>
            <w:tcW w:w="1200"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0799B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定氢探头(钢包型)</w:t>
            </w:r>
          </w:p>
        </w:tc>
        <w:tc>
          <w:tcPr>
            <w:tcW w:w="1147" w:type="dxa"/>
            <w:tcBorders>
              <w:top w:val="single" w:color="333333" w:sz="4" w:space="0"/>
              <w:left w:val="single" w:color="333333" w:sz="4" w:space="0"/>
              <w:bottom w:val="single" w:color="333333" w:sz="4" w:space="0"/>
              <w:right w:val="single" w:color="333333" w:sz="4" w:space="0"/>
            </w:tcBorders>
            <w:shd w:val="clear" w:color="auto" w:fill="FFFFFF"/>
            <w:vAlign w:val="center"/>
          </w:tcPr>
          <w:p w14:paraId="56E65C24">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HS900</w:t>
            </w:r>
          </w:p>
        </w:tc>
        <w:tc>
          <w:tcPr>
            <w:tcW w:w="533"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2702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08"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6AB49798">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800</w:t>
            </w:r>
          </w:p>
        </w:tc>
        <w:tc>
          <w:tcPr>
            <w:tcW w:w="1348"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48B621E4">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Q/IBRF6-2010</w:t>
            </w:r>
          </w:p>
        </w:tc>
        <w:tc>
          <w:tcPr>
            <w:tcW w:w="1100" w:type="dxa"/>
            <w:tcBorders>
              <w:top w:val="single" w:color="000000" w:sz="4" w:space="0"/>
              <w:left w:val="single" w:color="333333" w:sz="4" w:space="0"/>
              <w:bottom w:val="single" w:color="000000" w:sz="4" w:space="0"/>
              <w:right w:val="single" w:color="000000" w:sz="4" w:space="0"/>
            </w:tcBorders>
            <w:shd w:val="clear" w:color="auto" w:fill="FFFFFF"/>
            <w:noWrap/>
            <w:vAlign w:val="center"/>
          </w:tcPr>
          <w:p w14:paraId="09AD7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炼钢厂部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051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2025年1-12月按合同计划交货期交货</w:t>
            </w:r>
          </w:p>
        </w:tc>
      </w:tr>
      <w:tr w14:paraId="76FF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D36BB">
            <w:pPr>
              <w:jc w:val="center"/>
              <w:rPr>
                <w:rFonts w:hint="eastAsia" w:ascii="仿宋" w:hAnsi="仿宋" w:eastAsia="仿宋" w:cs="仿宋"/>
                <w:i w:val="0"/>
                <w:iCs w:val="0"/>
                <w:color w:val="000000"/>
                <w:sz w:val="18"/>
                <w:szCs w:val="18"/>
                <w:u w:val="none"/>
              </w:rPr>
            </w:pPr>
          </w:p>
        </w:tc>
        <w:tc>
          <w:tcPr>
            <w:tcW w:w="909"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04B4F63E">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6600100072</w:t>
            </w:r>
          </w:p>
        </w:tc>
        <w:tc>
          <w:tcPr>
            <w:tcW w:w="1200"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0B58C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标准型定氧探头</w:t>
            </w:r>
          </w:p>
        </w:tc>
        <w:tc>
          <w:tcPr>
            <w:tcW w:w="1147" w:type="dxa"/>
            <w:tcBorders>
              <w:top w:val="single" w:color="333333" w:sz="4" w:space="0"/>
              <w:left w:val="single" w:color="333333" w:sz="4" w:space="0"/>
              <w:bottom w:val="single" w:color="333333" w:sz="4" w:space="0"/>
              <w:right w:val="single" w:color="333333" w:sz="4" w:space="0"/>
            </w:tcBorders>
            <w:shd w:val="clear" w:color="auto" w:fill="FFFFFF"/>
            <w:vAlign w:val="center"/>
          </w:tcPr>
          <w:p w14:paraId="2F123310">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CE1200Hi-S</w:t>
            </w:r>
          </w:p>
        </w:tc>
        <w:tc>
          <w:tcPr>
            <w:tcW w:w="533"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11E37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8"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00781795">
            <w:pPr>
              <w:keepNext w:val="0"/>
              <w:keepLines w:val="0"/>
              <w:widowControl/>
              <w:suppressLineNumbers w:val="0"/>
              <w:jc w:val="center"/>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20000</w:t>
            </w:r>
          </w:p>
        </w:tc>
        <w:tc>
          <w:tcPr>
            <w:tcW w:w="1348" w:type="dxa"/>
            <w:tcBorders>
              <w:top w:val="single" w:color="333333" w:sz="4" w:space="0"/>
              <w:left w:val="single" w:color="333333" w:sz="4" w:space="0"/>
              <w:bottom w:val="single" w:color="333333" w:sz="4" w:space="0"/>
              <w:right w:val="single" w:color="333333" w:sz="4" w:space="0"/>
            </w:tcBorders>
            <w:shd w:val="clear" w:color="auto" w:fill="FFFFFF"/>
            <w:noWrap/>
            <w:vAlign w:val="center"/>
          </w:tcPr>
          <w:p w14:paraId="48A6D607">
            <w:pPr>
              <w:keepNext w:val="0"/>
              <w:keepLines w:val="0"/>
              <w:widowControl/>
              <w:suppressLineNumbers w:val="0"/>
              <w:jc w:val="left"/>
              <w:textAlignment w:val="center"/>
              <w:rPr>
                <w:rFonts w:hint="default" w:ascii="Tahoma" w:hAnsi="Tahoma" w:eastAsia="Tahoma" w:cs="Tahoma"/>
                <w:i w:val="0"/>
                <w:iCs w:val="0"/>
                <w:color w:val="000000"/>
                <w:sz w:val="18"/>
                <w:szCs w:val="18"/>
                <w:u w:val="none"/>
              </w:rPr>
            </w:pPr>
            <w:r>
              <w:rPr>
                <w:rFonts w:hint="default" w:ascii="Tahoma" w:hAnsi="Tahoma" w:eastAsia="Tahoma" w:cs="Tahoma"/>
                <w:i w:val="0"/>
                <w:iCs w:val="0"/>
                <w:color w:val="000000"/>
                <w:kern w:val="0"/>
                <w:sz w:val="18"/>
                <w:szCs w:val="18"/>
                <w:u w:val="none"/>
                <w:lang w:val="en-US" w:eastAsia="zh-CN" w:bidi="ar"/>
              </w:rPr>
              <w:t>Q/IBRF1-2010</w:t>
            </w:r>
          </w:p>
        </w:tc>
        <w:tc>
          <w:tcPr>
            <w:tcW w:w="1100" w:type="dxa"/>
            <w:tcBorders>
              <w:top w:val="single" w:color="000000" w:sz="4" w:space="0"/>
              <w:left w:val="single" w:color="333333" w:sz="4" w:space="0"/>
              <w:bottom w:val="single" w:color="000000" w:sz="4" w:space="0"/>
              <w:right w:val="single" w:color="000000" w:sz="4" w:space="0"/>
            </w:tcBorders>
            <w:shd w:val="clear" w:color="auto" w:fill="FFFFFF"/>
            <w:noWrap/>
            <w:vAlign w:val="center"/>
          </w:tcPr>
          <w:p w14:paraId="05687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炼钢厂部</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33F5E">
            <w:pPr>
              <w:jc w:val="center"/>
              <w:rPr>
                <w:rFonts w:hint="eastAsia" w:ascii="仿宋" w:hAnsi="仿宋" w:eastAsia="仿宋" w:cs="仿宋"/>
                <w:i w:val="0"/>
                <w:iCs w:val="0"/>
                <w:color w:val="000000"/>
                <w:sz w:val="18"/>
                <w:szCs w:val="18"/>
                <w:u w:val="none"/>
              </w:rPr>
            </w:pPr>
          </w:p>
        </w:tc>
      </w:tr>
    </w:tbl>
    <w:p w14:paraId="3D2AA249">
      <w:pPr>
        <w:pStyle w:val="10"/>
        <w:adjustRightInd w:val="0"/>
        <w:snapToGrid w:val="0"/>
        <w:spacing w:line="360" w:lineRule="exact"/>
        <w:ind w:firstLine="0" w:firstLineChars="0"/>
        <w:rPr>
          <w:rFonts w:ascii="仿宋" w:hAnsi="仿宋" w:eastAsia="仿宋" w:cs="仿宋"/>
          <w:sz w:val="28"/>
          <w:szCs w:val="28"/>
        </w:rPr>
      </w:pPr>
    </w:p>
    <w:p w14:paraId="65C45718">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3C96EB9A">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14:paraId="456FC280">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w:t>
      </w:r>
    </w:p>
    <w:p w14:paraId="4A8ABDBE">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0FCC3539">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14:paraId="46274501">
      <w:pPr>
        <w:pStyle w:val="10"/>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14:paraId="7E511A75">
      <w:pPr>
        <w:pStyle w:val="10"/>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内</w:t>
      </w:r>
      <w:r>
        <w:rPr>
          <w:rFonts w:hint="eastAsia" w:ascii="仿宋" w:hAnsi="仿宋" w:eastAsia="仿宋" w:cs="仿宋"/>
          <w:sz w:val="28"/>
          <w:szCs w:val="28"/>
        </w:rPr>
        <w:t>在</w:t>
      </w:r>
      <w:r>
        <w:rPr>
          <w:rFonts w:hint="eastAsia" w:ascii="仿宋" w:hAnsi="仿宋" w:eastAsia="仿宋" w:cs="仿宋"/>
          <w:sz w:val="28"/>
          <w:szCs w:val="28"/>
          <w:lang w:val="en-US" w:eastAsia="zh-CN"/>
        </w:rPr>
        <w:t>衡钢试用合格或在衡钢</w:t>
      </w:r>
      <w:r>
        <w:rPr>
          <w:rFonts w:hint="eastAsia" w:ascii="仿宋" w:hAnsi="仿宋" w:eastAsia="仿宋" w:cs="仿宋"/>
          <w:sz w:val="28"/>
          <w:szCs w:val="28"/>
        </w:rPr>
        <w:t>有直接业绩的生产企业；</w:t>
      </w:r>
    </w:p>
    <w:p w14:paraId="18E81518">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14:paraId="76A26F39">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325D2AF">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14:paraId="44C8F6B9">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07694E2E">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7236825F">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58629F9A">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14:paraId="30A82762">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723348F1">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14:paraId="2C1D9C5B">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621A9F4D">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14:paraId="3BE07EE7">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14:paraId="514D10C8">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14:paraId="618FB6FD">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DBD16A4">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14:paraId="401D80C6">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12</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23</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上午10:30</w:t>
      </w:r>
      <w:r>
        <w:rPr>
          <w:rFonts w:hint="eastAsia" w:ascii="仿宋" w:hAnsi="仿宋" w:eastAsia="仿宋" w:cs="仿宋"/>
          <w:b/>
          <w:sz w:val="28"/>
          <w:szCs w:val="28"/>
        </w:rPr>
        <w:t>(北京时间)</w:t>
      </w:r>
    </w:p>
    <w:p w14:paraId="07DAA035">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三</w:t>
      </w:r>
      <w:bookmarkStart w:id="2" w:name="_GoBack"/>
      <w:bookmarkEnd w:id="2"/>
      <w:r>
        <w:rPr>
          <w:rFonts w:hint="eastAsia" w:ascii="仿宋" w:hAnsi="仿宋" w:eastAsia="仿宋" w:cs="仿宋"/>
          <w:sz w:val="28"/>
          <w:szCs w:val="28"/>
        </w:rPr>
        <w:t xml:space="preserve">室（采购部三楼）                  </w:t>
      </w:r>
    </w:p>
    <w:p w14:paraId="35948045">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010A2D6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14:paraId="1A4EFF7E">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14:paraId="4B6E0502">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14:paraId="4A6E41E9">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6E5D311C">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14:paraId="7CD6E516">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098F2C2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14:paraId="041A4025">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25ED4DED">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14:paraId="23F32E4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14:paraId="1416183F">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w:t>
      </w:r>
    </w:p>
    <w:p w14:paraId="28C52657">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14:paraId="46B8A6F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14:paraId="25AA37B0">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w:t>
      </w:r>
    </w:p>
    <w:p w14:paraId="678001E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14:paraId="1612AE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IzMmQ0ZGNjMWY0MDI1ZWZkZDhkMzQyMmU1Y2M1ODkifQ=="/>
    <w:docVar w:name="KSO_WPS_MARK_KEY" w:val="d67be782-200c-49e8-bae0-3f7886200f12"/>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3F863C0"/>
    <w:rsid w:val="04237661"/>
    <w:rsid w:val="06451689"/>
    <w:rsid w:val="09301849"/>
    <w:rsid w:val="09D60BB6"/>
    <w:rsid w:val="0A81579E"/>
    <w:rsid w:val="14292D22"/>
    <w:rsid w:val="16932FEB"/>
    <w:rsid w:val="23C45CC3"/>
    <w:rsid w:val="24191401"/>
    <w:rsid w:val="269F291D"/>
    <w:rsid w:val="26AE6956"/>
    <w:rsid w:val="33AD3FEE"/>
    <w:rsid w:val="3A3359F8"/>
    <w:rsid w:val="3C6C6CE3"/>
    <w:rsid w:val="416777A6"/>
    <w:rsid w:val="42C1623B"/>
    <w:rsid w:val="48AA4A58"/>
    <w:rsid w:val="5D5C2C89"/>
    <w:rsid w:val="5E05084B"/>
    <w:rsid w:val="626913A7"/>
    <w:rsid w:val="6C7F467C"/>
    <w:rsid w:val="73A0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1070</Words>
  <Characters>1268</Characters>
  <Lines>9</Lines>
  <Paragraphs>2</Paragraphs>
  <TotalTime>3</TotalTime>
  <ScaleCrop>false</ScaleCrop>
  <LinksUpToDate>false</LinksUpToDate>
  <CharactersWithSpaces>1307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周敏</cp:lastModifiedBy>
  <dcterms:modified xsi:type="dcterms:W3CDTF">2024-12-13T08:27:50Z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302380F51D7C4DCEA1BA320CA5675DCD_13</vt:lpwstr>
  </property>
</Properties>
</file>