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技改</w:t>
      </w:r>
      <w:r>
        <w:rPr>
          <w:rFonts w:hint="eastAsia" w:ascii="仿宋" w:hAnsi="仿宋" w:eastAsia="仿宋"/>
          <w:sz w:val="28"/>
          <w:szCs w:val="28"/>
        </w:rPr>
        <w:t>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lang w:eastAsia="zh-CN"/>
        </w:rPr>
        <w:t>炼钢厂烟囱废气排放规范化整改项目（HG202529)钢材采购</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项目编号：HGJSG2025013 </w:t>
      </w:r>
    </w:p>
    <w:p w14:paraId="21B60E9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炼钢厂烟囱废气排放规范化整改项目（HG202529)钢材采购</w:t>
      </w:r>
    </w:p>
    <w:p w14:paraId="52280AB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F07229E">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5FFDCE3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30000</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5CA7B3B">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7890EF1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3660E49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423786"/>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2025-03-26T09:39:26Z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